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napToGrid w:val="0"/>
        <w:spacing w:line="560" w:lineRule="exact"/>
        <w:ind w:firstLine="0"/>
        <w:jc w:val="both"/>
        <w:rPr>
          <w:rFonts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 xml:space="preserve">证券代码：002871         证券简称：伟隆股份         公告编号：2023-109 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 xml:space="preserve">       </w:t>
      </w:r>
    </w:p>
    <w:p>
      <w:pPr>
        <w:pStyle w:val="6"/>
        <w:snapToGrid w:val="0"/>
        <w:spacing w:line="560" w:lineRule="exact"/>
        <w:ind w:firstLine="0"/>
        <w:jc w:val="center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</w:p>
    <w:p>
      <w:pPr>
        <w:pStyle w:val="6"/>
        <w:snapToGrid w:val="0"/>
        <w:spacing w:line="560" w:lineRule="exact"/>
        <w:ind w:firstLine="0"/>
        <w:jc w:val="center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青岛伟隆阀门股份有限公司</w:t>
      </w:r>
    </w:p>
    <w:p>
      <w:pPr>
        <w:pStyle w:val="6"/>
        <w:snapToGrid w:val="0"/>
        <w:spacing w:line="560" w:lineRule="exact"/>
        <w:ind w:firstLine="0"/>
        <w:jc w:val="center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关于参加青岛辖区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上市公司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投资者</w:t>
      </w:r>
    </w:p>
    <w:p>
      <w:pPr>
        <w:pStyle w:val="6"/>
        <w:snapToGrid w:val="0"/>
        <w:spacing w:line="560" w:lineRule="exact"/>
        <w:ind w:firstLine="0"/>
        <w:jc w:val="center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网上集体接待日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活动的公告</w:t>
      </w:r>
    </w:p>
    <w:p>
      <w:pPr>
        <w:pStyle w:val="6"/>
        <w:snapToGrid w:val="0"/>
        <w:spacing w:line="560" w:lineRule="exact"/>
        <w:ind w:firstLine="0"/>
        <w:jc w:val="both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6"/>
        <w:snapToGrid w:val="0"/>
        <w:spacing w:line="560" w:lineRule="exact"/>
        <w:ind w:firstLine="0"/>
        <w:jc w:val="both"/>
        <w:rPr>
          <w:rFonts w:asciiTheme="minorEastAsia" w:hAnsiTheme="minorEastAsia" w:eastAsiaTheme="minorEastAsia" w:cstheme="minorEastAsia"/>
          <w:color w:val="auto"/>
          <w:lang w:eastAsia="zh-CN"/>
        </w:rPr>
      </w:pPr>
      <w:r>
        <w:rPr>
          <w:color w:val="auto"/>
          <w:sz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-104140</wp:posOffset>
                </wp:positionH>
                <wp:positionV relativeFrom="paragraph">
                  <wp:posOffset>130175</wp:posOffset>
                </wp:positionV>
                <wp:extent cx="5417820" cy="871220"/>
                <wp:effectExtent l="4445" t="4445" r="13335" b="13335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7820" cy="87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6"/>
                              <w:snapToGrid w:val="0"/>
                              <w:spacing w:line="560" w:lineRule="exact"/>
                              <w:ind w:firstLine="480" w:firstLineChars="20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本公司及董事会全体成员保证信息披露的内容真实、准确、完整，没有虚假记载、误导性陈述或重大遗漏。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2pt;margin-top:10.25pt;height:68.6pt;width:426.6pt;mso-wrap-distance-bottom:0pt;mso-wrap-distance-left:9pt;mso-wrap-distance-right:9pt;mso-wrap-distance-top:0pt;z-index:251659264;mso-width-relative:page;mso-height-relative:page;" fillcolor="#FFFFFF" filled="t" stroked="t" coordsize="21600,21600" o:gfxdata="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jLBcH&#10;1wAAAAoBAAAPAAAAAAAAAAEAIAAAACIAAABkcnMvZG93bnJldi54bWxQSwECFAAUAAAACACHTuJA&#10;rVUVklsCAADFBAAADgAAAAAAAAABACAAAAAmAQAAZHJzL2Uyb0RvYy54bWxQSwUGAAAAAAYABgBZ&#10;AQAA8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snapToGrid w:val="0"/>
                        <w:spacing w:line="560" w:lineRule="exact"/>
                        <w:ind w:firstLine="480" w:firstLineChars="20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本公司及董事会全体成员保证信息披露的内容真实、准确、完整，没有虚假记载、误导性陈述或重大遗漏。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6"/>
        <w:snapToGrid w:val="0"/>
        <w:spacing w:line="560" w:lineRule="exact"/>
        <w:ind w:firstLine="480" w:firstLineChars="200"/>
        <w:jc w:val="both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为进一步加强与投资者的互动交流，</w:t>
      </w:r>
      <w:r>
        <w:rPr>
          <w:rFonts w:hint="eastAsia"/>
          <w:color w:val="auto"/>
          <w:sz w:val="24"/>
          <w:szCs w:val="24"/>
          <w:lang w:val="en-US" w:eastAsia="zh-CN"/>
        </w:rPr>
        <w:t>青岛伟隆阀门</w:t>
      </w:r>
      <w:r>
        <w:rPr>
          <w:rFonts w:hint="eastAsia"/>
          <w:color w:val="auto"/>
          <w:sz w:val="24"/>
          <w:szCs w:val="24"/>
        </w:rPr>
        <w:t>股份有限公司（以下简称“公司”）将参加由</w:t>
      </w:r>
      <w:r>
        <w:rPr>
          <w:rFonts w:hint="eastAsia"/>
          <w:color w:val="auto"/>
          <w:sz w:val="24"/>
          <w:szCs w:val="24"/>
          <w:lang w:val="en-US" w:eastAsia="zh-CN"/>
        </w:rPr>
        <w:t>青岛</w:t>
      </w:r>
      <w:r>
        <w:rPr>
          <w:rFonts w:hint="eastAsia"/>
          <w:color w:val="auto"/>
          <w:sz w:val="24"/>
          <w:szCs w:val="24"/>
        </w:rPr>
        <w:t>证监局、中证中小投资者服务中心有限责任公司指导，</w:t>
      </w:r>
      <w:r>
        <w:rPr>
          <w:rFonts w:hint="eastAsia"/>
          <w:color w:val="auto"/>
          <w:sz w:val="24"/>
          <w:szCs w:val="24"/>
          <w:lang w:val="en-US" w:eastAsia="zh-CN"/>
        </w:rPr>
        <w:t>青岛市</w:t>
      </w:r>
      <w:r>
        <w:rPr>
          <w:rFonts w:hint="eastAsia"/>
          <w:color w:val="auto"/>
          <w:sz w:val="24"/>
          <w:szCs w:val="24"/>
        </w:rPr>
        <w:t>上市公司协会与深圳市全景网络有限公司联合举办的“202</w:t>
      </w:r>
      <w:r>
        <w:rPr>
          <w:rFonts w:hint="eastAsia"/>
          <w:color w:val="auto"/>
          <w:sz w:val="24"/>
          <w:szCs w:val="24"/>
          <w:lang w:val="en-US" w:eastAsia="zh-CN"/>
        </w:rPr>
        <w:t>3</w:t>
      </w:r>
      <w:r>
        <w:rPr>
          <w:rFonts w:hint="eastAsia"/>
          <w:color w:val="auto"/>
          <w:sz w:val="24"/>
          <w:szCs w:val="24"/>
        </w:rPr>
        <w:t xml:space="preserve"> 年</w:t>
      </w:r>
      <w:r>
        <w:rPr>
          <w:rFonts w:hint="eastAsia"/>
          <w:color w:val="auto"/>
          <w:sz w:val="24"/>
          <w:szCs w:val="24"/>
          <w:lang w:val="en-US" w:eastAsia="zh-CN"/>
        </w:rPr>
        <w:t>青岛</w:t>
      </w:r>
      <w:r>
        <w:rPr>
          <w:rFonts w:hint="eastAsia"/>
          <w:color w:val="auto"/>
          <w:sz w:val="24"/>
          <w:szCs w:val="24"/>
        </w:rPr>
        <w:t>辖区上市公司投资者集体接待日活动”，现将相关事项公告如下：</w:t>
      </w:r>
    </w:p>
    <w:p>
      <w:pPr>
        <w:pStyle w:val="6"/>
        <w:snapToGrid w:val="0"/>
        <w:spacing w:line="560" w:lineRule="exact"/>
        <w:ind w:firstLine="480" w:firstLineChars="20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本次活动将采用网络远程的方式举行，投资者可登录“全景路演”</w:t>
      </w:r>
      <w:r>
        <w:rPr>
          <w:rFonts w:hint="eastAsia"/>
          <w:color w:val="auto"/>
          <w:sz w:val="24"/>
          <w:szCs w:val="24"/>
        </w:rPr>
        <w:t>网站</w:t>
      </w:r>
      <w:r>
        <w:rPr>
          <w:color w:val="auto"/>
          <w:sz w:val="24"/>
          <w:szCs w:val="24"/>
        </w:rPr>
        <w:t>（http</w:t>
      </w:r>
      <w:r>
        <w:rPr>
          <w:rFonts w:hint="eastAsia"/>
          <w:color w:val="auto"/>
          <w:sz w:val="24"/>
          <w:szCs w:val="24"/>
        </w:rPr>
        <w:t>s</w:t>
      </w:r>
      <w:r>
        <w:rPr>
          <w:color w:val="auto"/>
          <w:sz w:val="24"/>
          <w:szCs w:val="24"/>
        </w:rPr>
        <w:t>://rs.p5w.net）</w:t>
      </w:r>
      <w:r>
        <w:rPr>
          <w:rFonts w:hint="eastAsia"/>
          <w:color w:val="auto"/>
          <w:sz w:val="24"/>
          <w:szCs w:val="24"/>
        </w:rPr>
        <w:t>，或关注微信公众号：全景财经，或下载全景路演APP,</w:t>
      </w:r>
      <w:r>
        <w:rPr>
          <w:color w:val="auto"/>
          <w:sz w:val="24"/>
          <w:szCs w:val="24"/>
        </w:rPr>
        <w:t>参与本次互动交流，活动时间为202</w:t>
      </w:r>
      <w:r>
        <w:rPr>
          <w:rFonts w:hint="eastAsia"/>
          <w:color w:val="auto"/>
          <w:sz w:val="24"/>
          <w:szCs w:val="24"/>
        </w:rPr>
        <w:t>3</w:t>
      </w:r>
      <w:r>
        <w:rPr>
          <w:color w:val="auto"/>
          <w:sz w:val="24"/>
          <w:szCs w:val="24"/>
        </w:rPr>
        <w:t>年</w:t>
      </w:r>
      <w:r>
        <w:rPr>
          <w:rFonts w:hint="eastAsia"/>
          <w:color w:val="auto"/>
          <w:sz w:val="24"/>
          <w:szCs w:val="24"/>
        </w:rPr>
        <w:t>11</w:t>
      </w:r>
      <w:r>
        <w:rPr>
          <w:color w:val="auto"/>
          <w:sz w:val="24"/>
          <w:szCs w:val="24"/>
        </w:rPr>
        <w:t>月</w:t>
      </w:r>
      <w:r>
        <w:rPr>
          <w:rFonts w:hint="eastAsia"/>
          <w:color w:val="auto"/>
          <w:sz w:val="24"/>
          <w:szCs w:val="24"/>
        </w:rPr>
        <w:t>8</w:t>
      </w:r>
      <w:r>
        <w:rPr>
          <w:color w:val="auto"/>
          <w:sz w:val="24"/>
          <w:szCs w:val="24"/>
        </w:rPr>
        <w:t>日（周</w:t>
      </w:r>
      <w:r>
        <w:rPr>
          <w:rFonts w:hint="eastAsia"/>
          <w:color w:val="auto"/>
          <w:sz w:val="24"/>
          <w:szCs w:val="24"/>
        </w:rPr>
        <w:t>三</w:t>
      </w:r>
      <w:r>
        <w:rPr>
          <w:color w:val="auto"/>
          <w:sz w:val="24"/>
          <w:szCs w:val="24"/>
        </w:rPr>
        <w:t>） 1</w:t>
      </w:r>
      <w:r>
        <w:rPr>
          <w:rFonts w:hint="eastAsia"/>
          <w:color w:val="auto"/>
          <w:sz w:val="24"/>
          <w:szCs w:val="24"/>
        </w:rPr>
        <w:t>5</w:t>
      </w:r>
      <w:r>
        <w:rPr>
          <w:color w:val="auto"/>
          <w:sz w:val="24"/>
          <w:szCs w:val="24"/>
        </w:rPr>
        <w:t>:00-1</w:t>
      </w:r>
      <w:r>
        <w:rPr>
          <w:rFonts w:hint="eastAsia"/>
          <w:color w:val="auto"/>
          <w:sz w:val="24"/>
          <w:szCs w:val="24"/>
        </w:rPr>
        <w:t>7</w:t>
      </w:r>
      <w:r>
        <w:rPr>
          <w:color w:val="auto"/>
          <w:sz w:val="24"/>
          <w:szCs w:val="24"/>
        </w:rPr>
        <w:t>:00。届时公司高管将以在线</w:t>
      </w:r>
      <w:r>
        <w:rPr>
          <w:rFonts w:hint="eastAsia"/>
          <w:color w:val="auto"/>
          <w:sz w:val="24"/>
          <w:szCs w:val="24"/>
        </w:rPr>
        <w:t>交流形式就公司治理、发展战略、经营状况、融资计划、股权激励和可持续发展等投资者关注的问题</w:t>
      </w:r>
      <w:r>
        <w:rPr>
          <w:color w:val="auto"/>
          <w:sz w:val="24"/>
          <w:szCs w:val="24"/>
        </w:rPr>
        <w:t>与投资者进行沟通与交流，欢迎广大投资者踊跃参与！</w:t>
      </w:r>
    </w:p>
    <w:p>
      <w:pPr>
        <w:pStyle w:val="6"/>
        <w:snapToGrid w:val="0"/>
        <w:spacing w:line="560" w:lineRule="exact"/>
        <w:ind w:firstLine="480" w:firstLineChars="200"/>
        <w:jc w:val="both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特此公告！</w:t>
      </w:r>
    </w:p>
    <w:p>
      <w:pPr>
        <w:pStyle w:val="6"/>
        <w:snapToGrid w:val="0"/>
        <w:spacing w:line="560" w:lineRule="exact"/>
        <w:ind w:firstLine="480" w:firstLineChars="200"/>
        <w:jc w:val="both"/>
        <w:rPr>
          <w:color w:val="auto"/>
          <w:sz w:val="24"/>
          <w:szCs w:val="24"/>
        </w:rPr>
      </w:pPr>
    </w:p>
    <w:p>
      <w:pPr>
        <w:pStyle w:val="6"/>
        <w:snapToGrid w:val="0"/>
        <w:spacing w:line="560" w:lineRule="exact"/>
        <w:jc w:val="right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青岛伟隆阀门</w:t>
      </w:r>
      <w:r>
        <w:rPr>
          <w:rFonts w:hint="eastAsia"/>
          <w:color w:val="auto"/>
          <w:sz w:val="24"/>
          <w:szCs w:val="24"/>
        </w:rPr>
        <w:t>股份有限公司</w:t>
      </w:r>
    </w:p>
    <w:p>
      <w:pPr>
        <w:pStyle w:val="6"/>
        <w:snapToGrid w:val="0"/>
        <w:spacing w:line="560" w:lineRule="exact"/>
        <w:ind w:firstLine="6388" w:firstLineChars="2662"/>
        <w:jc w:val="both"/>
        <w:rPr>
          <w:color w:val="auto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2023</w:t>
      </w:r>
      <w:r>
        <w:rPr>
          <w:rFonts w:hint="eastAsia"/>
          <w:color w:val="auto"/>
          <w:sz w:val="24"/>
          <w:szCs w:val="24"/>
        </w:rPr>
        <w:t>年</w:t>
      </w:r>
      <w:r>
        <w:rPr>
          <w:rFonts w:hint="eastAsia"/>
          <w:color w:val="auto"/>
          <w:sz w:val="24"/>
          <w:szCs w:val="24"/>
          <w:lang w:val="en-US" w:eastAsia="zh-CN"/>
        </w:rPr>
        <w:t>11</w:t>
      </w:r>
      <w:r>
        <w:rPr>
          <w:rFonts w:hint="eastAsia"/>
          <w:color w:val="auto"/>
          <w:sz w:val="24"/>
          <w:szCs w:val="24"/>
        </w:rPr>
        <w:t>月</w:t>
      </w:r>
      <w:r>
        <w:rPr>
          <w:rFonts w:hint="default"/>
          <w:color w:val="auto"/>
          <w:sz w:val="24"/>
          <w:szCs w:val="24"/>
          <w:lang w:val="en-US"/>
        </w:rPr>
        <w:t>0</w:t>
      </w:r>
      <w:bookmarkStart w:id="0" w:name="_GoBack"/>
      <w:bookmarkEnd w:id="0"/>
      <w:r>
        <w:rPr>
          <w:rFonts w:hint="eastAsia"/>
          <w:color w:val="auto"/>
          <w:sz w:val="24"/>
          <w:szCs w:val="24"/>
          <w:lang w:val="en-US" w:eastAsia="zh-CN"/>
        </w:rPr>
        <w:t>4</w:t>
      </w:r>
      <w:r>
        <w:rPr>
          <w:rFonts w:hint="eastAsia"/>
          <w:color w:val="auto"/>
          <w:sz w:val="24"/>
          <w:szCs w:val="24"/>
        </w:rPr>
        <w:t>日</w:t>
      </w:r>
    </w:p>
    <w:p>
      <w:pPr>
        <w:rPr>
          <w:color w:val="auto"/>
          <w:lang w:eastAsia="zh-TW"/>
        </w:rPr>
      </w:pPr>
    </w:p>
    <w:sectPr>
      <w:pgSz w:w="11900" w:h="16840"/>
      <w:pgMar w:top="1152" w:right="1706" w:bottom="1152" w:left="1821" w:header="724" w:footer="724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